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20" w:lineRule="auto"/>
        <w:ind w:left="0" w:leftChars="0" w:firstLine="0" w:firstLineChars="0"/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微安全风险管控平台唯一来源采购公告</w:t>
      </w:r>
    </w:p>
    <w:p>
      <w:pPr>
        <w:spacing w:line="480" w:lineRule="auto"/>
        <w:ind w:left="0" w:leftChars="0" w:firstLine="301" w:firstLineChars="100"/>
        <w:jc w:val="left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一、项目信息</w:t>
      </w:r>
    </w:p>
    <w:p>
      <w:pPr>
        <w:spacing w:line="480" w:lineRule="auto"/>
        <w:ind w:left="0" w:leftChars="0" w:firstLine="602" w:firstLineChars="200"/>
        <w:jc w:val="left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 xml:space="preserve">  1.项目名称：</w:t>
      </w:r>
      <w:r>
        <w:rPr>
          <w:rFonts w:hint="eastAsia"/>
          <w:b w:val="0"/>
          <w:bCs w:val="0"/>
          <w:lang w:val="en-US" w:eastAsia="zh-CN"/>
        </w:rPr>
        <w:t>“微安全”</w:t>
      </w:r>
      <w:r>
        <w:rPr>
          <w:rFonts w:hint="eastAsia"/>
          <w:lang w:val="en-US" w:eastAsia="zh-CN"/>
        </w:rPr>
        <w:t>风险管控平台项目</w:t>
      </w:r>
    </w:p>
    <w:p>
      <w:pPr>
        <w:spacing w:line="480" w:lineRule="auto"/>
        <w:ind w:left="0" w:leftChars="0" w:firstLine="602" w:firstLineChars="200"/>
        <w:jc w:val="left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 xml:space="preserve">  2.拟采购的货物或服务的说明</w:t>
      </w:r>
      <w:r>
        <w:rPr>
          <w:rFonts w:hint="eastAsia"/>
          <w:lang w:val="en-US" w:eastAsia="zh-CN"/>
        </w:rPr>
        <w:t>：</w:t>
      </w:r>
    </w:p>
    <w:tbl>
      <w:tblPr>
        <w:tblStyle w:val="16"/>
        <w:tblpPr w:leftFromText="180" w:rightFromText="180" w:vertAnchor="text" w:horzAnchor="page" w:tblpX="1343" w:tblpY="74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6"/>
        <w:gridCol w:w="63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3226" w:type="dxa"/>
            <w:noWrap w:val="0"/>
            <w:vAlign w:val="top"/>
          </w:tcPr>
          <w:p>
            <w:pPr>
              <w:pStyle w:val="14"/>
              <w:spacing w:before="0" w:beforeAutospacing="0" w:after="0" w:afterAutospacing="0" w:line="360" w:lineRule="auto"/>
              <w:jc w:val="center"/>
              <w:rPr>
                <w:rFonts w:hint="eastAsia" w:ascii="仿宋" w:hAnsi="仿宋" w:eastAsia="仿宋" w:cstheme="minorBidi"/>
                <w:b/>
                <w:bCs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b/>
                <w:bCs/>
                <w:kern w:val="2"/>
                <w:sz w:val="30"/>
                <w:szCs w:val="30"/>
                <w:lang w:val="en-US" w:eastAsia="zh-CN" w:bidi="ar-SA"/>
              </w:rPr>
              <w:t>软件项目</w:t>
            </w:r>
          </w:p>
        </w:tc>
        <w:tc>
          <w:tcPr>
            <w:tcW w:w="6313" w:type="dxa"/>
            <w:noWrap w:val="0"/>
            <w:vAlign w:val="top"/>
          </w:tcPr>
          <w:p>
            <w:pPr>
              <w:pStyle w:val="14"/>
              <w:spacing w:before="0" w:beforeAutospacing="0" w:after="0" w:afterAutospacing="0" w:line="360" w:lineRule="auto"/>
              <w:jc w:val="center"/>
              <w:rPr>
                <w:rFonts w:hint="eastAsia" w:ascii="仿宋" w:hAnsi="仿宋" w:eastAsia="仿宋" w:cstheme="minorBidi"/>
                <w:b/>
                <w:bCs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b/>
                <w:bCs/>
                <w:kern w:val="2"/>
                <w:sz w:val="30"/>
                <w:szCs w:val="30"/>
                <w:lang w:val="en-US" w:eastAsia="zh-CN" w:bidi="ar-SA"/>
              </w:rPr>
              <w:t>包含内容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  <w:jc w:val="center"/>
        </w:trPr>
        <w:tc>
          <w:tcPr>
            <w:tcW w:w="3226" w:type="dxa"/>
            <w:noWrap w:val="0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theme="minorBidi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30"/>
                <w:szCs w:val="30"/>
                <w:lang w:val="en-US" w:eastAsia="zh-CN" w:bidi="ar-SA"/>
              </w:rPr>
              <w:t>《微安全双预防智慧信息系统》</w:t>
            </w:r>
          </w:p>
        </w:tc>
        <w:tc>
          <w:tcPr>
            <w:tcW w:w="6313" w:type="dxa"/>
            <w:noWrap w:val="0"/>
            <w:vAlign w:val="center"/>
          </w:tcPr>
          <w:p>
            <w:pPr>
              <w:spacing w:line="240" w:lineRule="auto"/>
              <w:ind w:left="0" w:leftChars="0" w:firstLine="0" w:firstLineChars="0"/>
              <w:jc w:val="left"/>
              <w:rPr>
                <w:rFonts w:hint="default" w:ascii="仿宋" w:hAnsi="仿宋" w:eastAsia="仿宋" w:cstheme="minorBidi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30"/>
                <w:szCs w:val="30"/>
                <w:lang w:val="en-US" w:eastAsia="zh-CN" w:bidi="ar-SA"/>
              </w:rPr>
              <w:t>企业版：电脑web端·手机app端</w:t>
            </w:r>
            <w:r>
              <w:rPr>
                <w:rFonts w:hint="eastAsia" w:cstheme="minorBidi"/>
                <w:kern w:val="2"/>
                <w:sz w:val="30"/>
                <w:szCs w:val="30"/>
                <w:lang w:val="en-US" w:eastAsia="zh-CN" w:bidi="ar-SA"/>
              </w:rPr>
              <w:t>（含安卓、苹果客户端）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3226" w:type="dxa"/>
            <w:noWrap w:val="0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theme="minorBidi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30"/>
                <w:szCs w:val="30"/>
                <w:lang w:val="en-US" w:eastAsia="zh-CN" w:bidi="ar-SA"/>
              </w:rPr>
              <w:t>系统配套设施</w:t>
            </w:r>
          </w:p>
        </w:tc>
        <w:tc>
          <w:tcPr>
            <w:tcW w:w="6313" w:type="dxa"/>
            <w:noWrap w:val="0"/>
            <w:vAlign w:val="center"/>
          </w:tcPr>
          <w:p>
            <w:pPr>
              <w:spacing w:line="240" w:lineRule="auto"/>
              <w:ind w:left="0" w:leftChars="0" w:firstLine="0" w:firstLineChars="0"/>
              <w:jc w:val="left"/>
              <w:rPr>
                <w:rFonts w:hint="eastAsia" w:ascii="仿宋" w:hAnsi="仿宋" w:eastAsia="仿宋" w:cstheme="minorBidi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30"/>
                <w:szCs w:val="30"/>
                <w:lang w:val="en-US" w:eastAsia="zh-CN" w:bidi="ar-SA"/>
              </w:rPr>
              <w:t>风险数据二维码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3226" w:type="dxa"/>
            <w:noWrap w:val="0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theme="minorBidi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30"/>
                <w:szCs w:val="30"/>
                <w:lang w:val="en-US" w:eastAsia="zh-CN" w:bidi="ar-SA"/>
              </w:rPr>
              <w:t>微信参与安全检查机制</w:t>
            </w:r>
          </w:p>
        </w:tc>
        <w:tc>
          <w:tcPr>
            <w:tcW w:w="6313" w:type="dxa"/>
            <w:noWrap w:val="0"/>
            <w:vAlign w:val="center"/>
          </w:tcPr>
          <w:p>
            <w:pPr>
              <w:spacing w:line="240" w:lineRule="auto"/>
              <w:ind w:left="0" w:leftChars="0" w:firstLine="0" w:firstLineChars="0"/>
              <w:jc w:val="left"/>
              <w:rPr>
                <w:rFonts w:hint="eastAsia" w:ascii="仿宋" w:hAnsi="仿宋" w:eastAsia="仿宋" w:cstheme="minorBidi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30"/>
                <w:szCs w:val="30"/>
                <w:lang w:val="en-US" w:eastAsia="zh-CN" w:bidi="ar-SA"/>
              </w:rPr>
              <w:t>微信扫码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  <w:jc w:val="center"/>
        </w:trPr>
        <w:tc>
          <w:tcPr>
            <w:tcW w:w="3226" w:type="dxa"/>
            <w:noWrap w:val="0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default" w:ascii="仿宋" w:hAnsi="仿宋" w:eastAsia="仿宋" w:cstheme="minorBidi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30"/>
                <w:szCs w:val="30"/>
                <w:lang w:val="en-US" w:eastAsia="zh-CN" w:bidi="ar-SA"/>
              </w:rPr>
              <w:t>报表功能</w:t>
            </w:r>
          </w:p>
        </w:tc>
        <w:tc>
          <w:tcPr>
            <w:tcW w:w="6313" w:type="dxa"/>
            <w:noWrap w:val="0"/>
            <w:vAlign w:val="center"/>
          </w:tcPr>
          <w:p>
            <w:pPr>
              <w:spacing w:line="240" w:lineRule="auto"/>
              <w:ind w:left="0" w:leftChars="0" w:firstLine="0" w:firstLineChars="0"/>
              <w:jc w:val="left"/>
              <w:rPr>
                <w:rFonts w:hint="default" w:ascii="仿宋" w:hAnsi="仿宋" w:eastAsia="仿宋" w:cstheme="minorBidi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30"/>
                <w:szCs w:val="30"/>
                <w:lang w:val="en-US" w:eastAsia="zh-CN" w:bidi="ar-SA"/>
              </w:rPr>
              <w:t>可按月出具公司及公司各单位隐患排查、风险管控情况，并可查询前期数据，报表可导出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  <w:jc w:val="center"/>
        </w:trPr>
        <w:tc>
          <w:tcPr>
            <w:tcW w:w="3226" w:type="dxa"/>
            <w:noWrap w:val="0"/>
            <w:vAlign w:val="center"/>
          </w:tcPr>
          <w:p>
            <w:pPr>
              <w:bidi w:val="0"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theme="minorBidi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30"/>
                <w:szCs w:val="30"/>
                <w:lang w:val="en-US" w:eastAsia="zh-CN" w:bidi="ar-SA"/>
              </w:rPr>
              <w:t>特种设备台账</w:t>
            </w:r>
          </w:p>
        </w:tc>
        <w:tc>
          <w:tcPr>
            <w:tcW w:w="6313" w:type="dxa"/>
            <w:noWrap w:val="0"/>
            <w:vAlign w:val="center"/>
          </w:tcPr>
          <w:p>
            <w:pPr>
              <w:spacing w:line="240" w:lineRule="auto"/>
              <w:ind w:left="0" w:leftChars="0" w:firstLine="0" w:firstLineChars="0"/>
              <w:jc w:val="left"/>
              <w:rPr>
                <w:rFonts w:hint="eastAsia" w:ascii="仿宋" w:hAnsi="仿宋" w:eastAsia="仿宋" w:cstheme="minorBidi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30"/>
                <w:szCs w:val="30"/>
                <w:lang w:val="en-US" w:eastAsia="zh-CN" w:bidi="ar-SA"/>
              </w:rPr>
              <w:t>特种设备信息登记、设备报警记录、安全管理人员、特种人员证书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  <w:jc w:val="center"/>
        </w:trPr>
        <w:tc>
          <w:tcPr>
            <w:tcW w:w="3226" w:type="dxa"/>
            <w:noWrap w:val="0"/>
            <w:vAlign w:val="center"/>
          </w:tcPr>
          <w:p>
            <w:pPr>
              <w:bidi w:val="0"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theme="minorBidi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30"/>
                <w:szCs w:val="30"/>
                <w:lang w:val="en-US" w:eastAsia="zh-CN" w:bidi="ar-SA"/>
              </w:rPr>
              <w:t>特种设备安全责任制</w:t>
            </w:r>
          </w:p>
        </w:tc>
        <w:tc>
          <w:tcPr>
            <w:tcW w:w="6313" w:type="dxa"/>
            <w:noWrap w:val="0"/>
            <w:vAlign w:val="center"/>
          </w:tcPr>
          <w:p>
            <w:pPr>
              <w:spacing w:line="240" w:lineRule="auto"/>
              <w:ind w:left="0" w:leftChars="0" w:firstLine="0" w:firstLineChars="0"/>
              <w:jc w:val="left"/>
              <w:rPr>
                <w:rFonts w:hint="eastAsia" w:ascii="仿宋" w:hAnsi="仿宋" w:eastAsia="仿宋" w:cstheme="minorBidi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  <w:t>安全生产责任、</w:t>
            </w:r>
            <w:r>
              <w:rPr>
                <w:rFonts w:hint="eastAsia" w:cstheme="minorBidi"/>
                <w:kern w:val="2"/>
                <w:sz w:val="30"/>
                <w:szCs w:val="30"/>
                <w:lang w:val="en-US" w:eastAsia="zh-CN" w:bidi="ar-SA"/>
              </w:rPr>
              <w:t>特种设备安全制度、特种设备法律法规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  <w:jc w:val="center"/>
        </w:trPr>
        <w:tc>
          <w:tcPr>
            <w:tcW w:w="3226" w:type="dxa"/>
            <w:noWrap w:val="0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theme="minorBidi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安全风险任务管控</w:t>
            </w:r>
          </w:p>
        </w:tc>
        <w:tc>
          <w:tcPr>
            <w:tcW w:w="6313" w:type="dxa"/>
            <w:noWrap w:val="0"/>
            <w:vAlign w:val="center"/>
          </w:tcPr>
          <w:p>
            <w:pPr>
              <w:spacing w:line="240" w:lineRule="auto"/>
              <w:ind w:left="0" w:leftChars="0" w:firstLine="0" w:firstLineChars="0"/>
              <w:jc w:val="left"/>
              <w:rPr>
                <w:rFonts w:hint="eastAsia" w:ascii="仿宋" w:hAnsi="仿宋" w:eastAsia="仿宋" w:cstheme="minorBidi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30"/>
                <w:szCs w:val="30"/>
                <w:lang w:val="en-US" w:eastAsia="zh-CN" w:bidi="ar-SA"/>
              </w:rPr>
              <w:t>日管控、周排查、月调度、隐患台账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  <w:jc w:val="center"/>
        </w:trPr>
        <w:tc>
          <w:tcPr>
            <w:tcW w:w="3226" w:type="dxa"/>
            <w:noWrap w:val="0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theme="minorBidi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30"/>
                <w:szCs w:val="30"/>
                <w:lang w:val="en-US" w:eastAsia="zh-CN" w:bidi="ar-SA"/>
              </w:rPr>
              <w:t>管控统计</w:t>
            </w:r>
          </w:p>
        </w:tc>
        <w:tc>
          <w:tcPr>
            <w:tcW w:w="6313" w:type="dxa"/>
            <w:noWrap w:val="0"/>
            <w:vAlign w:val="center"/>
          </w:tcPr>
          <w:p>
            <w:pPr>
              <w:spacing w:line="240" w:lineRule="auto"/>
              <w:ind w:left="0" w:leftChars="0" w:firstLine="0" w:firstLineChars="0"/>
              <w:jc w:val="left"/>
              <w:rPr>
                <w:rFonts w:hint="eastAsia" w:ascii="仿宋" w:hAnsi="仿宋" w:eastAsia="仿宋" w:cstheme="minorBidi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30"/>
                <w:szCs w:val="30"/>
                <w:lang w:val="en-US" w:eastAsia="zh-CN" w:bidi="ar-SA"/>
              </w:rPr>
              <w:t>设备管控统计、责任人管控统计、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  <w:jc w:val="center"/>
        </w:trPr>
        <w:tc>
          <w:tcPr>
            <w:tcW w:w="3226" w:type="dxa"/>
            <w:noWrap w:val="0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theme="minorBidi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30"/>
                <w:szCs w:val="30"/>
                <w:lang w:val="en-US" w:eastAsia="zh-CN" w:bidi="ar-SA"/>
              </w:rPr>
              <w:t>教育培训</w:t>
            </w:r>
          </w:p>
        </w:tc>
        <w:tc>
          <w:tcPr>
            <w:tcW w:w="6313" w:type="dxa"/>
            <w:noWrap w:val="0"/>
            <w:vAlign w:val="center"/>
          </w:tcPr>
          <w:p>
            <w:pPr>
              <w:spacing w:line="240" w:lineRule="auto"/>
              <w:ind w:left="0" w:leftChars="0" w:firstLine="0" w:firstLineChars="0"/>
              <w:jc w:val="left"/>
              <w:rPr>
                <w:rFonts w:hint="eastAsia" w:ascii="仿宋" w:hAnsi="仿宋" w:eastAsia="仿宋" w:cstheme="minorBidi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30"/>
                <w:szCs w:val="30"/>
                <w:lang w:val="en-US" w:eastAsia="zh-CN" w:bidi="ar-SA"/>
              </w:rPr>
              <w:t>特种设备微信教培考、特种设备视频宣教、特种设备员工考核、特种设备部门考核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  <w:jc w:val="center"/>
        </w:trPr>
        <w:tc>
          <w:tcPr>
            <w:tcW w:w="3226" w:type="dxa"/>
            <w:noWrap w:val="0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theme="minorBidi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30"/>
                <w:szCs w:val="30"/>
                <w:lang w:val="en-US" w:eastAsia="zh-CN" w:bidi="ar-SA"/>
              </w:rPr>
              <w:t>系统</w:t>
            </w:r>
            <w:r>
              <w:rPr>
                <w:rFonts w:hint="eastAsia" w:ascii="仿宋" w:hAnsi="仿宋" w:eastAsia="仿宋" w:cstheme="minorBidi"/>
                <w:kern w:val="2"/>
                <w:sz w:val="30"/>
                <w:szCs w:val="30"/>
                <w:lang w:val="en-US" w:eastAsia="zh-CN" w:bidi="ar-SA"/>
              </w:rPr>
              <w:t>培训服务</w:t>
            </w:r>
          </w:p>
        </w:tc>
        <w:tc>
          <w:tcPr>
            <w:tcW w:w="6313" w:type="dxa"/>
            <w:noWrap w:val="0"/>
            <w:vAlign w:val="center"/>
          </w:tcPr>
          <w:p>
            <w:pPr>
              <w:spacing w:line="240" w:lineRule="auto"/>
              <w:ind w:left="0" w:leftChars="0" w:firstLine="0" w:firstLineChars="0"/>
              <w:jc w:val="left"/>
              <w:rPr>
                <w:rFonts w:hint="eastAsia" w:ascii="仿宋" w:hAnsi="仿宋" w:eastAsia="仿宋" w:cstheme="minorBidi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30"/>
                <w:szCs w:val="30"/>
                <w:lang w:val="en-US" w:eastAsia="zh-CN" w:bidi="ar-SA"/>
              </w:rPr>
              <w:t>系统使用教学集中培训一次</w:t>
            </w:r>
          </w:p>
          <w:p>
            <w:pPr>
              <w:spacing w:line="240" w:lineRule="auto"/>
              <w:ind w:left="0" w:leftChars="0" w:firstLine="0" w:firstLineChars="0"/>
              <w:jc w:val="left"/>
              <w:rPr>
                <w:rFonts w:hint="eastAsia" w:ascii="仿宋" w:hAnsi="仿宋" w:eastAsia="仿宋" w:cstheme="minorBidi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30"/>
                <w:szCs w:val="30"/>
                <w:lang w:val="en-US" w:eastAsia="zh-CN" w:bidi="ar-SA"/>
              </w:rPr>
              <w:t>（含每月至少一次的现场服务交流）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  <w:jc w:val="center"/>
        </w:trPr>
        <w:tc>
          <w:tcPr>
            <w:tcW w:w="3226" w:type="dxa"/>
            <w:noWrap w:val="0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default" w:ascii="仿宋" w:hAnsi="仿宋" w:eastAsia="仿宋" w:cstheme="minorBidi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30"/>
                <w:szCs w:val="30"/>
                <w:lang w:val="en-US" w:eastAsia="zh-CN" w:bidi="ar-SA"/>
              </w:rPr>
              <w:t>其他内容</w:t>
            </w:r>
          </w:p>
        </w:tc>
        <w:tc>
          <w:tcPr>
            <w:tcW w:w="6313" w:type="dxa"/>
            <w:noWrap w:val="0"/>
            <w:vAlign w:val="center"/>
          </w:tcPr>
          <w:p>
            <w:pPr>
              <w:spacing w:line="240" w:lineRule="auto"/>
              <w:ind w:left="0" w:leftChars="0" w:firstLine="0" w:firstLineChars="0"/>
              <w:jc w:val="left"/>
              <w:rPr>
                <w:rFonts w:hint="eastAsia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lang w:val="en-US" w:eastAsia="zh-CN" w:bidi="ar-SA"/>
              </w:rPr>
              <w:t>系统包含以下安全生产管理功能：1、风险管控；2、隐患治理；3、网格责任；4、教育培训；5、作业票；6、信息共享；7、预警信息；8、在线监测；9、应急管理；</w:t>
            </w:r>
          </w:p>
          <w:p>
            <w:pPr>
              <w:spacing w:line="240" w:lineRule="auto"/>
              <w:ind w:left="0" w:leftChars="0" w:firstLine="0" w:firstLineChars="0"/>
              <w:jc w:val="left"/>
              <w:rPr>
                <w:rFonts w:hint="eastAsia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lang w:val="en-US" w:eastAsia="zh-CN" w:bidi="ar-SA"/>
              </w:rPr>
              <w:t>包含短信通知服务，在隐患发现、变更、整改、销案中进行通知；</w:t>
            </w:r>
          </w:p>
          <w:p>
            <w:pPr>
              <w:spacing w:line="240" w:lineRule="auto"/>
              <w:ind w:left="0" w:leftChars="0" w:firstLine="0" w:firstLineChars="0"/>
              <w:jc w:val="left"/>
              <w:rPr>
                <w:rFonts w:hint="default" w:cstheme="minorBidi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对照片增加含有巡查点的定位水印图片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  <w:jc w:val="center"/>
        </w:trPr>
        <w:tc>
          <w:tcPr>
            <w:tcW w:w="953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theme="minorBidi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30"/>
                <w:szCs w:val="30"/>
                <w:lang w:val="en-US" w:eastAsia="zh-CN" w:bidi="ar-SA"/>
              </w:rPr>
              <w:t xml:space="preserve"> 备 注：</w:t>
            </w:r>
            <w:r>
              <w:rPr>
                <w:rFonts w:hint="eastAsia" w:cstheme="minorBidi"/>
                <w:kern w:val="2"/>
                <w:sz w:val="30"/>
                <w:szCs w:val="30"/>
                <w:lang w:val="en-US" w:eastAsia="zh-CN" w:bidi="ar-SA"/>
              </w:rPr>
              <w:t>包含</w:t>
            </w:r>
            <w:r>
              <w:rPr>
                <w:rFonts w:hint="eastAsia" w:ascii="仿宋" w:hAnsi="仿宋" w:eastAsia="仿宋" w:cstheme="minorBidi"/>
                <w:kern w:val="2"/>
                <w:sz w:val="30"/>
                <w:szCs w:val="30"/>
                <w:lang w:val="en-US" w:eastAsia="zh-CN" w:bidi="ar-SA"/>
              </w:rPr>
              <w:t>数据上传对接、信息预警、云端服务、服务器、技术培训服务、系统维护等</w:t>
            </w:r>
          </w:p>
        </w:tc>
      </w:tr>
    </w:tbl>
    <w:p>
      <w:pPr>
        <w:spacing w:line="480" w:lineRule="auto"/>
        <w:ind w:left="0" w:leftChars="0" w:firstLine="602" w:firstLineChars="200"/>
        <w:jc w:val="left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3.服务周期：</w:t>
      </w:r>
      <w:r>
        <w:rPr>
          <w:rFonts w:hint="eastAsia"/>
          <w:lang w:val="en-US" w:eastAsia="zh-CN"/>
        </w:rPr>
        <w:t>2年</w:t>
      </w:r>
    </w:p>
    <w:p>
      <w:pPr>
        <w:spacing w:line="480" w:lineRule="auto"/>
        <w:ind w:left="0" w:leftChars="0" w:firstLine="301" w:firstLineChars="100"/>
        <w:jc w:val="left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二、拟定供应商信息</w:t>
      </w:r>
    </w:p>
    <w:p>
      <w:pPr>
        <w:spacing w:line="480" w:lineRule="auto"/>
        <w:ind w:left="0" w:leftChars="0" w:firstLine="602" w:firstLineChars="200"/>
        <w:jc w:val="left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1.名称：</w:t>
      </w:r>
      <w:r>
        <w:rPr>
          <w:rFonts w:hint="eastAsia"/>
          <w:b w:val="0"/>
          <w:bCs w:val="0"/>
          <w:lang w:val="en-US" w:eastAsia="zh-CN"/>
        </w:rPr>
        <w:t>安徽鸿延传感信息有限公司</w:t>
      </w:r>
    </w:p>
    <w:p>
      <w:pPr>
        <w:spacing w:line="480" w:lineRule="auto"/>
        <w:ind w:left="0" w:leftChars="0" w:firstLine="602" w:firstLineChars="200"/>
        <w:jc w:val="left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2.地址</w:t>
      </w:r>
      <w:r>
        <w:rPr>
          <w:rFonts w:hint="eastAsia"/>
          <w:b w:val="0"/>
          <w:bCs w:val="0"/>
          <w:lang w:val="en-US" w:eastAsia="zh-CN"/>
        </w:rPr>
        <w:t>：安徽省宣城市经济技术开发区文景路999号宛陵科创城</w:t>
      </w:r>
    </w:p>
    <w:p>
      <w:pPr>
        <w:spacing w:line="480" w:lineRule="auto"/>
        <w:ind w:left="0" w:leftChars="0" w:firstLine="301" w:firstLineChars="100"/>
        <w:jc w:val="left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三、公示期限</w:t>
      </w:r>
      <w:r>
        <w:rPr>
          <w:rFonts w:hint="eastAsia"/>
          <w:b w:val="0"/>
          <w:bCs w:val="0"/>
          <w:lang w:val="en-US" w:eastAsia="zh-CN"/>
        </w:rPr>
        <w:t>：2025年11月27日至12月2日</w:t>
      </w:r>
    </w:p>
    <w:p>
      <w:pPr>
        <w:spacing w:line="480" w:lineRule="auto"/>
        <w:ind w:left="0" w:leftChars="0" w:firstLine="301" w:firstLineChars="100"/>
        <w:jc w:val="left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四、其他补充事宜：</w:t>
      </w:r>
    </w:p>
    <w:p>
      <w:pPr>
        <w:spacing w:line="480" w:lineRule="auto"/>
        <w:ind w:left="0" w:leftChars="0" w:firstLine="301" w:firstLineChars="100"/>
        <w:jc w:val="left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 xml:space="preserve">  </w:t>
      </w:r>
      <w:r>
        <w:rPr>
          <w:rFonts w:hint="eastAsia"/>
          <w:b w:val="0"/>
          <w:bCs w:val="0"/>
          <w:lang w:val="en-US" w:eastAsia="zh-CN"/>
        </w:rPr>
        <w:t>任何供应商、单位或者个人对采用单一来源采购方式公示有异议的，可以在公示期内将书面意见反馈给采购部门。</w:t>
      </w:r>
    </w:p>
    <w:p>
      <w:pPr>
        <w:spacing w:line="480" w:lineRule="auto"/>
        <w:ind w:left="0" w:leftChars="0" w:firstLine="301" w:firstLineChars="100"/>
        <w:jc w:val="left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五、联系方式</w:t>
      </w:r>
    </w:p>
    <w:p>
      <w:pPr>
        <w:spacing w:line="480" w:lineRule="auto"/>
        <w:jc w:val="left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1.采购部门信息：</w:t>
      </w:r>
      <w:r>
        <w:rPr>
          <w:rFonts w:hint="eastAsia"/>
          <w:b w:val="0"/>
          <w:bCs w:val="0"/>
          <w:lang w:val="en-US" w:eastAsia="zh-CN"/>
        </w:rPr>
        <w:t>安徽合力股份有限公司安全环保部</w:t>
      </w:r>
    </w:p>
    <w:p>
      <w:pPr>
        <w:spacing w:line="480" w:lineRule="auto"/>
        <w:jc w:val="left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2.联系人：齐正坤</w:t>
      </w:r>
    </w:p>
    <w:p>
      <w:pPr>
        <w:spacing w:line="480" w:lineRule="auto"/>
        <w:jc w:val="left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3.联系地址：</w:t>
      </w:r>
      <w:r>
        <w:rPr>
          <w:rFonts w:hint="eastAsia"/>
          <w:b w:val="0"/>
          <w:bCs w:val="0"/>
          <w:lang w:val="en-US" w:eastAsia="zh-CN"/>
        </w:rPr>
        <w:t>安徽省合肥市经开区方兴大道668号</w:t>
      </w:r>
      <w:bookmarkStart w:id="0" w:name="_GoBack"/>
      <w:bookmarkEnd w:id="0"/>
    </w:p>
    <w:p>
      <w:pPr>
        <w:spacing w:line="480" w:lineRule="auto"/>
        <w:jc w:val="left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4.联系邮箱：</w:t>
      </w:r>
      <w:r>
        <w:rPr>
          <w:rFonts w:hint="eastAsia"/>
          <w:b w:val="0"/>
          <w:bCs w:val="0"/>
          <w:lang w:val="en-US" w:eastAsia="zh-CN"/>
        </w:rPr>
        <w:fldChar w:fldCharType="begin"/>
      </w:r>
      <w:r>
        <w:rPr>
          <w:rFonts w:hint="eastAsia"/>
          <w:b w:val="0"/>
          <w:bCs w:val="0"/>
          <w:lang w:val="en-US" w:eastAsia="zh-CN"/>
        </w:rPr>
        <w:instrText xml:space="preserve"> HYPERLINK "mailto:65001063@helichina.com" </w:instrText>
      </w:r>
      <w:r>
        <w:rPr>
          <w:rFonts w:hint="eastAsia"/>
          <w:b w:val="0"/>
          <w:bCs w:val="0"/>
          <w:lang w:val="en-US" w:eastAsia="zh-CN"/>
        </w:rPr>
        <w:fldChar w:fldCharType="separate"/>
      </w:r>
      <w:r>
        <w:rPr>
          <w:rStyle w:val="19"/>
          <w:rFonts w:hint="eastAsia"/>
          <w:b w:val="0"/>
          <w:bCs w:val="0"/>
          <w:lang w:val="en-US" w:eastAsia="zh-CN"/>
        </w:rPr>
        <w:t>65001063@helichina.com</w:t>
      </w:r>
      <w:r>
        <w:rPr>
          <w:rFonts w:hint="eastAsia"/>
          <w:b w:val="0"/>
          <w:bCs w:val="0"/>
          <w:lang w:val="en-US" w:eastAsia="zh-CN"/>
        </w:rPr>
        <w:fldChar w:fldCharType="end"/>
      </w:r>
    </w:p>
    <w:p>
      <w:pPr>
        <w:spacing w:line="480" w:lineRule="auto"/>
        <w:jc w:val="left"/>
        <w:rPr>
          <w:rFonts w:hint="default"/>
          <w:lang w:val="en-US" w:eastAsia="zh-CN"/>
        </w:rPr>
      </w:pPr>
      <w:r>
        <w:rPr>
          <w:rFonts w:hint="eastAsia"/>
          <w:b/>
          <w:bCs/>
          <w:lang w:val="en-US" w:eastAsia="zh-CN"/>
        </w:rPr>
        <w:t>5.联系电话：</w:t>
      </w:r>
      <w:r>
        <w:rPr>
          <w:rFonts w:hint="eastAsia"/>
          <w:b w:val="0"/>
          <w:bCs w:val="0"/>
          <w:lang w:val="en-US" w:eastAsia="zh-CN"/>
        </w:rPr>
        <w:t>0551-63689596</w:t>
      </w:r>
    </w:p>
    <w:sectPr>
      <w:headerReference r:id="rId5" w:type="default"/>
      <w:footerReference r:id="rId6" w:type="default"/>
      <w:pgSz w:w="11906" w:h="16838"/>
      <w:pgMar w:top="850" w:right="1191" w:bottom="388" w:left="1191" w:header="170" w:footer="1077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567"/>
      </w:pPr>
      <w:r>
        <w:separator/>
      </w:r>
    </w:p>
  </w:endnote>
  <w:endnote w:type="continuationSeparator" w:id="1">
    <w:p>
      <w:pPr>
        <w:ind w:firstLine="567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094-CAI978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思源黑体 CN Regular">
    <w:altName w:val="黑体"/>
    <w:panose1 w:val="020B0500000000000000"/>
    <w:charset w:val="86"/>
    <w:family w:val="swiss"/>
    <w:pitch w:val="default"/>
    <w:sig w:usb0="00000000" w:usb1="00000000" w:usb2="00000016" w:usb3="00000000" w:csb0="6006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567"/>
      </w:pPr>
      <w:r>
        <w:separator/>
      </w:r>
    </w:p>
  </w:footnote>
  <w:footnote w:type="continuationSeparator" w:id="1">
    <w:p>
      <w:pPr>
        <w:ind w:firstLine="567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1756CE"/>
    <w:multiLevelType w:val="multilevel"/>
    <w:tmpl w:val="061756CE"/>
    <w:lvl w:ilvl="0" w:tentative="0">
      <w:start w:val="1"/>
      <w:numFmt w:val="chineseCountingThousand"/>
      <w:pStyle w:val="31"/>
      <w:lvlText w:val="%1、"/>
      <w:lvlJc w:val="left"/>
      <w:pPr>
        <w:ind w:left="848" w:hanging="420"/>
      </w:pPr>
    </w:lvl>
    <w:lvl w:ilvl="1" w:tentative="0">
      <w:start w:val="1"/>
      <w:numFmt w:val="lowerLetter"/>
      <w:lvlText w:val="%2)"/>
      <w:lvlJc w:val="left"/>
      <w:pPr>
        <w:ind w:left="1268" w:hanging="420"/>
      </w:pPr>
    </w:lvl>
    <w:lvl w:ilvl="2" w:tentative="0">
      <w:start w:val="1"/>
      <w:numFmt w:val="lowerRoman"/>
      <w:lvlText w:val="%3."/>
      <w:lvlJc w:val="right"/>
      <w:pPr>
        <w:ind w:left="1688" w:hanging="420"/>
      </w:pPr>
    </w:lvl>
    <w:lvl w:ilvl="3" w:tentative="0">
      <w:start w:val="1"/>
      <w:numFmt w:val="decimal"/>
      <w:lvlText w:val="%4."/>
      <w:lvlJc w:val="left"/>
      <w:pPr>
        <w:ind w:left="2108" w:hanging="420"/>
      </w:pPr>
    </w:lvl>
    <w:lvl w:ilvl="4" w:tentative="0">
      <w:start w:val="1"/>
      <w:numFmt w:val="lowerLetter"/>
      <w:lvlText w:val="%5)"/>
      <w:lvlJc w:val="left"/>
      <w:pPr>
        <w:ind w:left="2528" w:hanging="420"/>
      </w:pPr>
    </w:lvl>
    <w:lvl w:ilvl="5" w:tentative="0">
      <w:start w:val="1"/>
      <w:numFmt w:val="lowerRoman"/>
      <w:lvlText w:val="%6."/>
      <w:lvlJc w:val="right"/>
      <w:pPr>
        <w:ind w:left="2948" w:hanging="420"/>
      </w:pPr>
    </w:lvl>
    <w:lvl w:ilvl="6" w:tentative="0">
      <w:start w:val="1"/>
      <w:numFmt w:val="decimal"/>
      <w:lvlText w:val="%7."/>
      <w:lvlJc w:val="left"/>
      <w:pPr>
        <w:ind w:left="3368" w:hanging="420"/>
      </w:pPr>
    </w:lvl>
    <w:lvl w:ilvl="7" w:tentative="0">
      <w:start w:val="1"/>
      <w:numFmt w:val="lowerLetter"/>
      <w:lvlText w:val="%8)"/>
      <w:lvlJc w:val="left"/>
      <w:pPr>
        <w:ind w:left="3788" w:hanging="420"/>
      </w:pPr>
    </w:lvl>
    <w:lvl w:ilvl="8" w:tentative="0">
      <w:start w:val="1"/>
      <w:numFmt w:val="lowerRoman"/>
      <w:lvlText w:val="%9."/>
      <w:lvlJc w:val="right"/>
      <w:pPr>
        <w:ind w:left="4208" w:hanging="420"/>
      </w:pPr>
    </w:lvl>
  </w:abstractNum>
  <w:abstractNum w:abstractNumId="1">
    <w:nsid w:val="229E3D53"/>
    <w:multiLevelType w:val="multilevel"/>
    <w:tmpl w:val="229E3D53"/>
    <w:lvl w:ilvl="0" w:tentative="0">
      <w:start w:val="1"/>
      <w:numFmt w:val="decimal"/>
      <w:pStyle w:val="34"/>
      <w:lvlText w:val="%1."/>
      <w:lvlJc w:val="left"/>
      <w:pPr>
        <w:ind w:left="846" w:hanging="420"/>
      </w:pPr>
    </w:lvl>
    <w:lvl w:ilvl="1" w:tentative="0">
      <w:start w:val="1"/>
      <w:numFmt w:val="lowerLetter"/>
      <w:lvlText w:val="%2)"/>
      <w:lvlJc w:val="left"/>
      <w:pPr>
        <w:ind w:left="1266" w:hanging="420"/>
      </w:pPr>
    </w:lvl>
    <w:lvl w:ilvl="2" w:tentative="0">
      <w:start w:val="1"/>
      <w:numFmt w:val="lowerRoman"/>
      <w:lvlText w:val="%3."/>
      <w:lvlJc w:val="right"/>
      <w:pPr>
        <w:ind w:left="1686" w:hanging="420"/>
      </w:pPr>
    </w:lvl>
    <w:lvl w:ilvl="3" w:tentative="0">
      <w:start w:val="1"/>
      <w:numFmt w:val="decimal"/>
      <w:lvlText w:val="%4."/>
      <w:lvlJc w:val="left"/>
      <w:pPr>
        <w:ind w:left="2106" w:hanging="420"/>
      </w:pPr>
    </w:lvl>
    <w:lvl w:ilvl="4" w:tentative="0">
      <w:start w:val="1"/>
      <w:numFmt w:val="lowerLetter"/>
      <w:lvlText w:val="%5)"/>
      <w:lvlJc w:val="left"/>
      <w:pPr>
        <w:ind w:left="2526" w:hanging="420"/>
      </w:pPr>
    </w:lvl>
    <w:lvl w:ilvl="5" w:tentative="0">
      <w:start w:val="1"/>
      <w:numFmt w:val="lowerRoman"/>
      <w:lvlText w:val="%6."/>
      <w:lvlJc w:val="right"/>
      <w:pPr>
        <w:ind w:left="2946" w:hanging="420"/>
      </w:pPr>
    </w:lvl>
    <w:lvl w:ilvl="6" w:tentative="0">
      <w:start w:val="1"/>
      <w:numFmt w:val="decimal"/>
      <w:lvlText w:val="%7."/>
      <w:lvlJc w:val="left"/>
      <w:pPr>
        <w:ind w:left="3366" w:hanging="420"/>
      </w:pPr>
    </w:lvl>
    <w:lvl w:ilvl="7" w:tentative="0">
      <w:start w:val="1"/>
      <w:numFmt w:val="lowerLetter"/>
      <w:lvlText w:val="%8)"/>
      <w:lvlJc w:val="left"/>
      <w:pPr>
        <w:ind w:left="3786" w:hanging="420"/>
      </w:pPr>
    </w:lvl>
    <w:lvl w:ilvl="8" w:tentative="0">
      <w:start w:val="1"/>
      <w:numFmt w:val="lowerRoman"/>
      <w:lvlText w:val="%9."/>
      <w:lvlJc w:val="right"/>
      <w:pPr>
        <w:ind w:left="4206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Q4NTkzYTcwMWQ1MTFiMGM2MDY1NmExN2RlZjAxMzEifQ=="/>
  </w:docVars>
  <w:rsids>
    <w:rsidRoot w:val="00172A27"/>
    <w:rsid w:val="001B79F1"/>
    <w:rsid w:val="00297D5F"/>
    <w:rsid w:val="003247C2"/>
    <w:rsid w:val="006834F9"/>
    <w:rsid w:val="008C0D1F"/>
    <w:rsid w:val="00975B79"/>
    <w:rsid w:val="00A03486"/>
    <w:rsid w:val="00A36E30"/>
    <w:rsid w:val="00A8611F"/>
    <w:rsid w:val="00AF3C68"/>
    <w:rsid w:val="00B904C5"/>
    <w:rsid w:val="00E04881"/>
    <w:rsid w:val="00EC6EA3"/>
    <w:rsid w:val="01F96178"/>
    <w:rsid w:val="041373F6"/>
    <w:rsid w:val="042C47E7"/>
    <w:rsid w:val="054E2361"/>
    <w:rsid w:val="0CB55217"/>
    <w:rsid w:val="0D4870DB"/>
    <w:rsid w:val="115155BC"/>
    <w:rsid w:val="16FC5B32"/>
    <w:rsid w:val="19F1171D"/>
    <w:rsid w:val="1AE74317"/>
    <w:rsid w:val="1C767760"/>
    <w:rsid w:val="1D303373"/>
    <w:rsid w:val="1D8F50E1"/>
    <w:rsid w:val="1E81066B"/>
    <w:rsid w:val="203D39F0"/>
    <w:rsid w:val="20781E7A"/>
    <w:rsid w:val="21E81A3B"/>
    <w:rsid w:val="22962437"/>
    <w:rsid w:val="23C303DB"/>
    <w:rsid w:val="257543EE"/>
    <w:rsid w:val="26BB63F1"/>
    <w:rsid w:val="26D73719"/>
    <w:rsid w:val="2996455E"/>
    <w:rsid w:val="2A450A49"/>
    <w:rsid w:val="2A903A86"/>
    <w:rsid w:val="2A9226E6"/>
    <w:rsid w:val="2B46488A"/>
    <w:rsid w:val="2EAB4D27"/>
    <w:rsid w:val="32AA1322"/>
    <w:rsid w:val="36216F1C"/>
    <w:rsid w:val="37CA33A1"/>
    <w:rsid w:val="40CA4CF5"/>
    <w:rsid w:val="4308271D"/>
    <w:rsid w:val="434B42B1"/>
    <w:rsid w:val="441C0D56"/>
    <w:rsid w:val="4D655D09"/>
    <w:rsid w:val="4DF416CF"/>
    <w:rsid w:val="4EBB3175"/>
    <w:rsid w:val="50656676"/>
    <w:rsid w:val="531E556A"/>
    <w:rsid w:val="53A14208"/>
    <w:rsid w:val="58A84043"/>
    <w:rsid w:val="5C973E8F"/>
    <w:rsid w:val="624032A2"/>
    <w:rsid w:val="69490210"/>
    <w:rsid w:val="6B9168EB"/>
    <w:rsid w:val="6EE437A7"/>
    <w:rsid w:val="6F444773"/>
    <w:rsid w:val="6FB74717"/>
    <w:rsid w:val="728A1BF2"/>
    <w:rsid w:val="73F43B29"/>
    <w:rsid w:val="768201D3"/>
    <w:rsid w:val="76CE6320"/>
    <w:rsid w:val="7A161CCA"/>
    <w:rsid w:val="7C62667F"/>
    <w:rsid w:val="7D5C0844"/>
    <w:rsid w:val="7EAC7ADD"/>
    <w:rsid w:val="7FA50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安环（报）2020005关于为申请粉尘作业工种采购配发呼吸防护半面罩的申请.docx</Template>
  <Company>安徽合力股份有限公司</Company>
  <Pages>5</Pages>
  <Words>1612</Words>
  <Characters>1697</Characters>
  <Lines>1</Lines>
  <Paragraphs>1</Paragraphs>
  <TotalTime>4</TotalTime>
  <ScaleCrop>false</ScaleCrop>
  <LinksUpToDate>false</LinksUpToDate>
  <CharactersWithSpaces>1748</CharactersWithSpaces>
  <Application>WPS Office_11.8.6.11829_F1E327BC-269C-435d-A152-05C5408002CA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2020-04-03T04:34:00Z</dcterms:created>
  <dc:creator>[̲̅V̲̅I̲̅P̅]村长</dc:creator>
  <cp:lastModifiedBy>齐正坤</cp:lastModifiedBy>
  <cp:lastPrinted>2023-07-24T00:50:00Z</cp:lastPrinted>
  <dcterms:modified xsi:type="dcterms:W3CDTF">2025-11-25T07:17:21Z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2052-11.8.6.11829</vt:lpwstr>
  </property>
  <property fmtid="{D5CDD505-2E9C-101B-9397-08002B2CF9AE}" pid="3" name="ICV">
    <vt:lpwstr>B86C729AE3524515B1E2A50B6A13FFA5</vt:lpwstr>
  </property>
</Properties>
</file>